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4D3715D3"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D901E8">
        <w:t>ENAV</w:t>
      </w:r>
      <w:r w:rsidR="008B09B4">
        <w:t>1</w:t>
      </w:r>
      <w:r w:rsidR="00D901E8">
        <w:t>5</w:t>
      </w:r>
      <w:bookmarkStart w:id="0" w:name="_GoBack"/>
      <w:bookmarkEnd w:id="0"/>
      <w:r w:rsidR="008B09B4">
        <w:t>-5.1.1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5D9E254"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464FF701" w:rsidR="0080294B" w:rsidRPr="0080294B" w:rsidRDefault="00F546FD" w:rsidP="00037DF4">
      <w:pPr>
        <w:pStyle w:val="BodyText"/>
        <w:tabs>
          <w:tab w:val="left" w:pos="1843"/>
        </w:tabs>
      </w:pPr>
      <w:r>
        <w:rPr>
          <w:rFonts w:cs="Arial"/>
          <w:b/>
          <w:sz w:val="24"/>
          <w:szCs w:val="24"/>
        </w:rPr>
        <w:t>x</w:t>
      </w:r>
      <w:proofErr w:type="gramStart"/>
      <w:r w:rsidR="0080294B" w:rsidRPr="0080294B">
        <w:rPr>
          <w:rFonts w:cs="Arial"/>
          <w:b/>
          <w:sz w:val="24"/>
          <w:szCs w:val="24"/>
        </w:rPr>
        <w:t>□</w:t>
      </w:r>
      <w:r w:rsidR="0080294B" w:rsidRPr="0080294B">
        <w:rPr>
          <w:rFonts w:cs="Arial"/>
          <w:sz w:val="24"/>
          <w:szCs w:val="24"/>
        </w:rPr>
        <w:t xml:space="preserve">  </w:t>
      </w:r>
      <w:r w:rsidR="0080294B" w:rsidRPr="003D2DC1">
        <w:rPr>
          <w:rFonts w:cs="Arial"/>
        </w:rPr>
        <w:t>ENAV</w:t>
      </w:r>
      <w:proofErr w:type="gramEnd"/>
      <w:r w:rsidR="0080294B">
        <w:rPr>
          <w:rFonts w:cs="Arial"/>
          <w:b/>
          <w:sz w:val="24"/>
          <w:szCs w:val="24"/>
        </w:rPr>
        <w:tab/>
      </w:r>
      <w:r w:rsidR="0080294B" w:rsidRPr="0080294B">
        <w:rPr>
          <w:rFonts w:cs="Arial"/>
          <w:b/>
          <w:sz w:val="24"/>
          <w:szCs w:val="24"/>
        </w:rPr>
        <w:t>□</w:t>
      </w:r>
      <w:r w:rsidR="0080294B" w:rsidRPr="0080294B">
        <w:rPr>
          <w:rFonts w:cs="Arial"/>
          <w:sz w:val="24"/>
          <w:szCs w:val="24"/>
        </w:rPr>
        <w:t xml:space="preserve">  </w:t>
      </w:r>
      <w:r w:rsidR="003D2DC1">
        <w:rPr>
          <w:rFonts w:cs="Arial"/>
        </w:rPr>
        <w:t>VTS</w:t>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B09B4">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638AE1DA"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F546FD">
        <w:t>5</w:t>
      </w:r>
      <w:r w:rsidR="008B09B4">
        <w:t>.1</w:t>
      </w:r>
    </w:p>
    <w:p w14:paraId="1AB3E246" w14:textId="6765D634"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8B09B4">
        <w:t xml:space="preserve">Reports from Rapporteurs </w:t>
      </w:r>
    </w:p>
    <w:p w14:paraId="01FC5420" w14:textId="5FFDB54A"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B09B4">
        <w:tab/>
      </w:r>
      <w:r w:rsidR="008B09B4">
        <w:tab/>
      </w:r>
      <w:r w:rsidR="00F546FD">
        <w:t>N Ward</w:t>
      </w:r>
    </w:p>
    <w:p w14:paraId="60BCC120" w14:textId="77777777" w:rsidR="0080294B" w:rsidRDefault="0080294B" w:rsidP="00FE5674">
      <w:pPr>
        <w:pStyle w:val="BodyText"/>
        <w:tabs>
          <w:tab w:val="left" w:pos="2835"/>
        </w:tabs>
      </w:pPr>
    </w:p>
    <w:p w14:paraId="4834080C" w14:textId="77777777" w:rsidR="00A446C9" w:rsidRDefault="00A446C9" w:rsidP="00A446C9">
      <w:pPr>
        <w:pStyle w:val="Title"/>
      </w:pPr>
      <w:r>
        <w:t>Title</w:t>
      </w:r>
      <w:r w:rsidR="001C44A3">
        <w:t xml:space="preserve"> of paper</w:t>
      </w:r>
    </w:p>
    <w:p w14:paraId="0F258596" w14:textId="50FB6E37" w:rsidR="00A446C9" w:rsidRDefault="00A446C9" w:rsidP="00A446C9">
      <w:pPr>
        <w:pStyle w:val="Heading1"/>
      </w:pPr>
      <w:r>
        <w:t>Summary</w:t>
      </w:r>
    </w:p>
    <w:p w14:paraId="57011A73" w14:textId="1444DFCB" w:rsidR="00F546FD" w:rsidRDefault="00F546FD" w:rsidP="00B56BDF">
      <w:pPr>
        <w:pStyle w:val="BodyText"/>
      </w:pPr>
      <w:r>
        <w:t>IALA in conjunction with IAIN and EUGIN has supported the establishment of a Resilient PNT Forum. This body held its first meeting during the European Navigation Conference in Rotterdam in April. As a result of that meeting a document containing a Strategy and Action Plan was produced. The latest version of this document forms the Annex to this paper. It contains plans for future meetings.</w:t>
      </w:r>
    </w:p>
    <w:p w14:paraId="3C575A26" w14:textId="77777777" w:rsidR="001C44A3" w:rsidRDefault="00BD4E6F" w:rsidP="00B56BDF">
      <w:pPr>
        <w:pStyle w:val="Heading2"/>
      </w:pPr>
      <w:r>
        <w:t>Purpose</w:t>
      </w:r>
      <w:r w:rsidR="004D1D85">
        <w:t xml:space="preserve"> of the document</w:t>
      </w:r>
    </w:p>
    <w:p w14:paraId="16AE6650" w14:textId="12A7C84C" w:rsidR="004D1D85" w:rsidRDefault="00F546FD" w:rsidP="00F546FD">
      <w:pPr>
        <w:pStyle w:val="BodyText"/>
      </w:pPr>
      <w:r>
        <w:t>This paper is provided to inform the C</w:t>
      </w:r>
      <w:r w:rsidR="00BD4E6F">
        <w:t xml:space="preserve">ommittee </w:t>
      </w:r>
      <w:r>
        <w:t>of the Strategy and Action plan for Resilient PNT and the plans for future meetings.</w:t>
      </w:r>
    </w:p>
    <w:p w14:paraId="49BBCF58" w14:textId="450E449A" w:rsidR="00F546FD" w:rsidRDefault="00F546FD">
      <w:r>
        <w:br w:type="page"/>
      </w:r>
    </w:p>
    <w:p w14:paraId="7893B8BA" w14:textId="0B5F29F7" w:rsidR="00F546FD" w:rsidRDefault="00F546FD" w:rsidP="00F546FD">
      <w:pPr>
        <w:pStyle w:val="BodyText"/>
        <w:rPr>
          <w:b/>
          <w:lang w:eastAsia="en-US"/>
        </w:rPr>
      </w:pPr>
      <w:r w:rsidRPr="00F546FD">
        <w:rPr>
          <w:b/>
          <w:lang w:eastAsia="en-US"/>
        </w:rPr>
        <w:lastRenderedPageBreak/>
        <w:t>ANNEX</w:t>
      </w:r>
    </w:p>
    <w:p w14:paraId="33E0D199" w14:textId="77777777" w:rsidR="00304D3B" w:rsidRPr="00304D3B" w:rsidRDefault="00304D3B" w:rsidP="00304D3B">
      <w:pPr>
        <w:spacing w:before="96" w:after="200" w:line="276" w:lineRule="auto"/>
        <w:jc w:val="center"/>
        <w:rPr>
          <w:rFonts w:eastAsia="Times New Roman" w:cs="Arial"/>
          <w:b/>
          <w:color w:val="000000"/>
          <w:kern w:val="24"/>
          <w:u w:val="single"/>
        </w:rPr>
      </w:pPr>
      <w:r w:rsidRPr="00304D3B">
        <w:rPr>
          <w:rFonts w:ascii="Times New Roman" w:eastAsia="Times New Roman" w:hAnsi="Times New Roman" w:cs="Times New Roman"/>
          <w:noProof/>
          <w:sz w:val="24"/>
          <w:szCs w:val="24"/>
          <w:lang w:val="en-IE" w:eastAsia="en-IE"/>
        </w:rPr>
        <w:drawing>
          <wp:inline distT="0" distB="0" distL="0" distR="0" wp14:anchorId="3E29E331" wp14:editId="67FDB693">
            <wp:extent cx="771525" cy="76327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1525" cy="763270"/>
                    </a:xfrm>
                    <a:prstGeom prst="rect">
                      <a:avLst/>
                    </a:prstGeom>
                    <a:noFill/>
                    <a:ln>
                      <a:noFill/>
                    </a:ln>
                  </pic:spPr>
                </pic:pic>
              </a:graphicData>
            </a:graphic>
          </wp:inline>
        </w:drawing>
      </w:r>
      <w:r w:rsidRPr="00304D3B">
        <w:rPr>
          <w:rFonts w:ascii="Times New Roman" w:eastAsia="Times New Roman" w:hAnsi="Times New Roman" w:cs="Times New Roman"/>
          <w:noProof/>
          <w:sz w:val="24"/>
          <w:szCs w:val="24"/>
          <w:lang w:val="en-IE" w:eastAsia="en-IE"/>
        </w:rPr>
        <w:drawing>
          <wp:inline distT="0" distB="0" distL="0" distR="0" wp14:anchorId="0B521533" wp14:editId="6703F94D">
            <wp:extent cx="1144905" cy="723265"/>
            <wp:effectExtent l="0" t="0" r="0" b="635"/>
            <wp:docPr id="4" name="Picture 3" descr="IAIN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IN Logo 2"/>
                    <pic:cNvPicPr>
                      <a:picLocks noChangeAspect="1" noChangeArrowheads="1"/>
                    </pic:cNvPicPr>
                  </pic:nvPicPr>
                  <pic:blipFill>
                    <a:blip r:embed="rId11">
                      <a:extLst>
                        <a:ext uri="{28A0092B-C50C-407E-A947-70E740481C1C}">
                          <a14:useLocalDpi xmlns:a14="http://schemas.microsoft.com/office/drawing/2010/main" val="0"/>
                        </a:ext>
                      </a:extLst>
                    </a:blip>
                    <a:srcRect l="17671"/>
                    <a:stretch>
                      <a:fillRect/>
                    </a:stretch>
                  </pic:blipFill>
                  <pic:spPr bwMode="auto">
                    <a:xfrm>
                      <a:off x="0" y="0"/>
                      <a:ext cx="1144905" cy="723265"/>
                    </a:xfrm>
                    <a:prstGeom prst="rect">
                      <a:avLst/>
                    </a:prstGeom>
                    <a:noFill/>
                    <a:ln>
                      <a:noFill/>
                    </a:ln>
                  </pic:spPr>
                </pic:pic>
              </a:graphicData>
            </a:graphic>
          </wp:inline>
        </w:drawing>
      </w:r>
      <w:r w:rsidRPr="00304D3B">
        <w:rPr>
          <w:rFonts w:ascii="Times New Roman" w:eastAsia="Times New Roman" w:hAnsi="Times New Roman" w:cs="Times New Roman"/>
          <w:noProof/>
          <w:sz w:val="24"/>
          <w:szCs w:val="24"/>
          <w:lang w:val="en-IE" w:eastAsia="en-IE"/>
        </w:rPr>
        <w:drawing>
          <wp:inline distT="0" distB="0" distL="0" distR="0" wp14:anchorId="1E7FEC85" wp14:editId="2CA17339">
            <wp:extent cx="548640" cy="763270"/>
            <wp:effectExtent l="0" t="0" r="381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763270"/>
                    </a:xfrm>
                    <a:prstGeom prst="rect">
                      <a:avLst/>
                    </a:prstGeom>
                    <a:noFill/>
                    <a:ln>
                      <a:noFill/>
                    </a:ln>
                  </pic:spPr>
                </pic:pic>
              </a:graphicData>
            </a:graphic>
          </wp:inline>
        </w:drawing>
      </w:r>
    </w:p>
    <w:p w14:paraId="52D59ED7" w14:textId="77777777" w:rsidR="00304D3B" w:rsidRPr="00304D3B" w:rsidRDefault="00304D3B" w:rsidP="00304D3B">
      <w:pPr>
        <w:spacing w:after="200" w:line="276" w:lineRule="auto"/>
        <w:jc w:val="center"/>
        <w:rPr>
          <w:rFonts w:cs="Arial"/>
          <w:b/>
          <w:bCs/>
          <w:color w:val="1F497D"/>
          <w:kern w:val="24"/>
          <w:u w:val="single"/>
        </w:rPr>
      </w:pPr>
      <w:r w:rsidRPr="00304D3B">
        <w:rPr>
          <w:rFonts w:eastAsia="Times New Roman" w:cs="Arial"/>
          <w:b/>
          <w:color w:val="000000"/>
          <w:kern w:val="24"/>
          <w:u w:val="single"/>
        </w:rPr>
        <w:t xml:space="preserve">Draft Strategy and Action Plan for Resilient PNT </w:t>
      </w:r>
    </w:p>
    <w:p w14:paraId="683B8A26" w14:textId="77777777" w:rsidR="00304D3B" w:rsidRPr="00304D3B" w:rsidRDefault="00304D3B" w:rsidP="00304D3B">
      <w:pPr>
        <w:spacing w:after="120" w:line="276" w:lineRule="auto"/>
        <w:rPr>
          <w:rFonts w:cs="Arial"/>
          <w:b/>
          <w:bCs/>
          <w:kern w:val="24"/>
        </w:rPr>
      </w:pPr>
      <w:r w:rsidRPr="00304D3B">
        <w:rPr>
          <w:rFonts w:cs="Arial"/>
          <w:b/>
          <w:bCs/>
          <w:kern w:val="24"/>
        </w:rPr>
        <w:t>Introduction</w:t>
      </w:r>
    </w:p>
    <w:p w14:paraId="4F2FD129" w14:textId="77777777" w:rsidR="00304D3B" w:rsidRPr="00304D3B" w:rsidRDefault="00304D3B" w:rsidP="00304D3B">
      <w:pPr>
        <w:spacing w:before="154"/>
        <w:rPr>
          <w:rFonts w:cs="Arial"/>
          <w:b/>
          <w:bCs/>
          <w:color w:val="1F497D"/>
          <w:kern w:val="24"/>
          <w:u w:val="single"/>
        </w:rPr>
      </w:pPr>
      <w:r w:rsidRPr="00304D3B">
        <w:rPr>
          <w:rFonts w:cs="Arial"/>
          <w:bCs/>
          <w:kern w:val="24"/>
        </w:rPr>
        <w:t xml:space="preserve">This draft strategy is based on the outcome of the Resilient PNT </w:t>
      </w:r>
      <w:r w:rsidRPr="00304D3B">
        <w:rPr>
          <w:rFonts w:eastAsia="Times New Roman" w:cs="Arial"/>
          <w:color w:val="000000"/>
          <w:kern w:val="24"/>
        </w:rPr>
        <w:t>Forum, held on 14 April 2014 at the WTC Rotterdam. The Report of that Forum included an action for the convenor to draft ‘</w:t>
      </w:r>
      <w:r w:rsidRPr="00304D3B">
        <w:rPr>
          <w:rFonts w:eastAsia="Times New Roman" w:cs="Arial"/>
          <w:kern w:val="24"/>
        </w:rPr>
        <w:t xml:space="preserve">An outline Strategy and Action Plan’….’for consideration by the sponsor organisations and discussion at a follow-up event.’ </w:t>
      </w:r>
    </w:p>
    <w:p w14:paraId="7877E74F" w14:textId="77777777" w:rsidR="00304D3B" w:rsidRPr="00304D3B" w:rsidRDefault="00304D3B" w:rsidP="00304D3B">
      <w:pPr>
        <w:spacing w:before="154"/>
        <w:rPr>
          <w:rFonts w:eastAsia="Times New Roman" w:cs="Arial"/>
        </w:rPr>
      </w:pPr>
    </w:p>
    <w:p w14:paraId="2AF1C49A" w14:textId="77777777" w:rsidR="00304D3B" w:rsidRPr="00304D3B" w:rsidRDefault="00304D3B" w:rsidP="00304D3B">
      <w:pPr>
        <w:spacing w:after="120" w:line="276" w:lineRule="auto"/>
        <w:rPr>
          <w:rFonts w:cs="Arial"/>
          <w:b/>
          <w:kern w:val="24"/>
          <w:lang w:eastAsia="en-US"/>
        </w:rPr>
      </w:pPr>
      <w:r w:rsidRPr="00304D3B">
        <w:rPr>
          <w:rFonts w:cs="Arial"/>
          <w:b/>
          <w:kern w:val="24"/>
          <w:lang w:eastAsia="en-US"/>
        </w:rPr>
        <w:t>Strategy for achieving Resilient PNT</w:t>
      </w:r>
    </w:p>
    <w:p w14:paraId="18100803" w14:textId="77777777" w:rsidR="00304D3B" w:rsidRPr="00304D3B" w:rsidRDefault="00304D3B" w:rsidP="00304D3B">
      <w:pPr>
        <w:numPr>
          <w:ilvl w:val="0"/>
          <w:numId w:val="45"/>
        </w:numPr>
        <w:spacing w:before="120" w:after="200" w:line="256" w:lineRule="auto"/>
        <w:contextualSpacing/>
        <w:rPr>
          <w:rFonts w:cs="Arial"/>
          <w:lang w:val="en-US" w:eastAsia="en-US"/>
        </w:rPr>
      </w:pPr>
      <w:r w:rsidRPr="00304D3B">
        <w:rPr>
          <w:rFonts w:cs="Arial"/>
          <w:lang w:val="en-US" w:eastAsia="en-US"/>
        </w:rPr>
        <w:t>Resilient PNT should be a recognized policy for national and regional governments</w:t>
      </w:r>
    </w:p>
    <w:p w14:paraId="3A101A2E" w14:textId="77777777" w:rsidR="00304D3B" w:rsidRPr="00304D3B" w:rsidRDefault="00304D3B" w:rsidP="00304D3B">
      <w:pPr>
        <w:numPr>
          <w:ilvl w:val="0"/>
          <w:numId w:val="45"/>
        </w:numPr>
        <w:spacing w:before="120" w:after="200" w:line="276" w:lineRule="auto"/>
        <w:rPr>
          <w:rFonts w:eastAsia="Times New Roman" w:cs="Arial"/>
        </w:rPr>
      </w:pPr>
      <w:r w:rsidRPr="00304D3B">
        <w:rPr>
          <w:rFonts w:eastAsia="Times New Roman" w:cs="Arial"/>
          <w:kern w:val="24"/>
        </w:rPr>
        <w:t xml:space="preserve">Inter-Governmental Organisations (IMO, ICAO, ITU), non-governmental organisations (IALA) need to adopt it as an </w:t>
      </w:r>
      <w:r w:rsidRPr="00304D3B">
        <w:rPr>
          <w:rFonts w:cs="Arial"/>
          <w:sz w:val="24"/>
          <w:szCs w:val="24"/>
          <w:lang w:val="en-US"/>
        </w:rPr>
        <w:t>international requirement</w:t>
      </w:r>
    </w:p>
    <w:p w14:paraId="16C92E4E" w14:textId="77777777" w:rsidR="00304D3B" w:rsidRPr="00304D3B" w:rsidRDefault="00304D3B" w:rsidP="00304D3B">
      <w:pPr>
        <w:numPr>
          <w:ilvl w:val="0"/>
          <w:numId w:val="45"/>
        </w:numPr>
        <w:spacing w:before="154" w:after="200" w:line="276" w:lineRule="auto"/>
        <w:rPr>
          <w:rFonts w:eastAsia="Times New Roman" w:cs="Arial"/>
        </w:rPr>
      </w:pPr>
      <w:r w:rsidRPr="00304D3B">
        <w:rPr>
          <w:rFonts w:eastAsia="Times New Roman" w:cs="Arial"/>
          <w:kern w:val="24"/>
        </w:rPr>
        <w:t>Radio-navigation Plans: FRP, ERNP should embody Resilient PNT</w:t>
      </w:r>
    </w:p>
    <w:p w14:paraId="3F0226C6" w14:textId="77777777" w:rsidR="00304D3B" w:rsidRPr="00304D3B" w:rsidRDefault="00304D3B" w:rsidP="00304D3B">
      <w:pPr>
        <w:numPr>
          <w:ilvl w:val="0"/>
          <w:numId w:val="45"/>
        </w:numPr>
        <w:spacing w:before="154" w:after="200" w:line="276" w:lineRule="auto"/>
        <w:rPr>
          <w:rFonts w:eastAsia="Times New Roman" w:cs="Arial"/>
        </w:rPr>
      </w:pPr>
      <w:r w:rsidRPr="00304D3B">
        <w:rPr>
          <w:rFonts w:eastAsia="Times New Roman" w:cs="Arial"/>
          <w:kern w:val="24"/>
        </w:rPr>
        <w:t>Spectrum planning organisations (ECC, FCC) need to take it into account</w:t>
      </w:r>
    </w:p>
    <w:p w14:paraId="50965BDC" w14:textId="77777777" w:rsidR="00304D3B" w:rsidRPr="00304D3B" w:rsidRDefault="00304D3B" w:rsidP="00304D3B">
      <w:pPr>
        <w:numPr>
          <w:ilvl w:val="0"/>
          <w:numId w:val="45"/>
        </w:numPr>
        <w:spacing w:before="120" w:after="200" w:line="256" w:lineRule="auto"/>
        <w:contextualSpacing/>
        <w:rPr>
          <w:rFonts w:cs="Arial"/>
          <w:lang w:val="en-US" w:eastAsia="en-US"/>
        </w:rPr>
      </w:pPr>
      <w:r w:rsidRPr="00304D3B">
        <w:rPr>
          <w:rFonts w:cs="Arial"/>
          <w:lang w:val="en-US" w:eastAsia="en-US"/>
        </w:rPr>
        <w:t>Standards bodies, manufacturers organizations, user groups should recognize it</w:t>
      </w:r>
    </w:p>
    <w:p w14:paraId="334EF046" w14:textId="77777777" w:rsidR="00304D3B" w:rsidRPr="00304D3B" w:rsidRDefault="00304D3B" w:rsidP="00304D3B">
      <w:pPr>
        <w:spacing w:before="154"/>
        <w:rPr>
          <w:rFonts w:eastAsia="Times New Roman" w:cs="Arial"/>
        </w:rPr>
      </w:pPr>
    </w:p>
    <w:p w14:paraId="76646FBD" w14:textId="77777777" w:rsidR="00304D3B" w:rsidRPr="00304D3B" w:rsidRDefault="00304D3B" w:rsidP="00304D3B">
      <w:pPr>
        <w:spacing w:after="120" w:line="276" w:lineRule="auto"/>
        <w:rPr>
          <w:rFonts w:cs="Arial"/>
          <w:b/>
          <w:kern w:val="24"/>
          <w:lang w:eastAsia="en-US"/>
        </w:rPr>
      </w:pPr>
      <w:r w:rsidRPr="00304D3B">
        <w:rPr>
          <w:rFonts w:cs="Arial"/>
          <w:b/>
          <w:kern w:val="24"/>
          <w:lang w:eastAsia="en-US"/>
        </w:rPr>
        <w:t>Plan of action</w:t>
      </w:r>
    </w:p>
    <w:p w14:paraId="061F9C5A" w14:textId="77777777" w:rsidR="00304D3B" w:rsidRPr="00304D3B" w:rsidRDefault="00304D3B" w:rsidP="00304D3B">
      <w:pPr>
        <w:numPr>
          <w:ilvl w:val="0"/>
          <w:numId w:val="46"/>
        </w:numPr>
        <w:spacing w:after="200" w:line="256" w:lineRule="auto"/>
        <w:contextualSpacing/>
        <w:rPr>
          <w:rFonts w:cs="Arial"/>
          <w:lang w:val="en-US" w:eastAsia="en-US"/>
        </w:rPr>
      </w:pPr>
      <w:r w:rsidRPr="00304D3B">
        <w:rPr>
          <w:rFonts w:cs="Arial"/>
          <w:lang w:val="en-US" w:eastAsia="en-US"/>
        </w:rPr>
        <w:t>Awareness &amp; Communication Plan – stress the benefits, positive message</w:t>
      </w:r>
    </w:p>
    <w:p w14:paraId="05BDD163" w14:textId="77777777" w:rsidR="00304D3B" w:rsidRPr="00304D3B" w:rsidRDefault="00304D3B" w:rsidP="00304D3B">
      <w:pPr>
        <w:numPr>
          <w:ilvl w:val="0"/>
          <w:numId w:val="46"/>
        </w:numPr>
        <w:spacing w:after="200" w:line="256" w:lineRule="auto"/>
        <w:contextualSpacing/>
        <w:rPr>
          <w:rFonts w:cs="Arial"/>
          <w:lang w:val="en-US" w:eastAsia="en-US"/>
        </w:rPr>
      </w:pPr>
      <w:r w:rsidRPr="00304D3B">
        <w:rPr>
          <w:rFonts w:cs="Arial"/>
          <w:lang w:val="en-US" w:eastAsia="en-US"/>
        </w:rPr>
        <w:t>Risk assessment, economic assessment</w:t>
      </w:r>
    </w:p>
    <w:p w14:paraId="5E166847" w14:textId="77777777" w:rsidR="00304D3B" w:rsidRPr="00304D3B" w:rsidRDefault="00304D3B" w:rsidP="00304D3B">
      <w:pPr>
        <w:numPr>
          <w:ilvl w:val="0"/>
          <w:numId w:val="46"/>
        </w:numPr>
        <w:spacing w:after="200" w:line="256" w:lineRule="auto"/>
        <w:contextualSpacing/>
        <w:rPr>
          <w:rFonts w:cs="Arial"/>
          <w:lang w:val="en-US" w:eastAsia="en-US"/>
        </w:rPr>
      </w:pPr>
      <w:r w:rsidRPr="00304D3B">
        <w:rPr>
          <w:rFonts w:cs="Arial"/>
          <w:lang w:val="en-US" w:eastAsia="en-US"/>
        </w:rPr>
        <w:t>Public Education/Media:</w:t>
      </w:r>
    </w:p>
    <w:p w14:paraId="1CAB572B" w14:textId="77777777" w:rsidR="00304D3B" w:rsidRPr="00304D3B" w:rsidRDefault="00304D3B" w:rsidP="00304D3B">
      <w:pPr>
        <w:numPr>
          <w:ilvl w:val="0"/>
          <w:numId w:val="46"/>
        </w:numPr>
        <w:spacing w:after="200" w:line="256" w:lineRule="auto"/>
        <w:contextualSpacing/>
        <w:rPr>
          <w:rFonts w:eastAsia="Times New Roman" w:cs="Arial"/>
          <w:kern w:val="24"/>
        </w:rPr>
      </w:pPr>
      <w:r w:rsidRPr="00304D3B">
        <w:rPr>
          <w:rFonts w:cs="Arial"/>
          <w:lang w:val="en-US" w:eastAsia="en-US"/>
        </w:rPr>
        <w:t>Politicians need to be persuaded (jobs, safety of life)</w:t>
      </w:r>
      <w:r w:rsidRPr="00304D3B">
        <w:rPr>
          <w:rFonts w:eastAsia="Times New Roman" w:cs="Arial"/>
          <w:kern w:val="24"/>
        </w:rPr>
        <w:tab/>
      </w:r>
      <w:r w:rsidRPr="00304D3B">
        <w:rPr>
          <w:rFonts w:eastAsia="Times New Roman" w:cs="Arial"/>
          <w:kern w:val="24"/>
        </w:rPr>
        <w:tab/>
      </w:r>
    </w:p>
    <w:p w14:paraId="743BCB42" w14:textId="77777777" w:rsidR="00304D3B" w:rsidRPr="00304D3B" w:rsidRDefault="00304D3B" w:rsidP="00304D3B">
      <w:pPr>
        <w:numPr>
          <w:ilvl w:val="0"/>
          <w:numId w:val="46"/>
        </w:numPr>
        <w:spacing w:after="200" w:line="276" w:lineRule="auto"/>
        <w:rPr>
          <w:rFonts w:eastAsia="Times New Roman" w:cs="Arial"/>
        </w:rPr>
      </w:pPr>
      <w:r w:rsidRPr="00304D3B">
        <w:rPr>
          <w:rFonts w:eastAsia="Times New Roman" w:cs="Arial"/>
          <w:kern w:val="24"/>
        </w:rPr>
        <w:t>National and international support must be built up (NGO/IGO support)</w:t>
      </w:r>
    </w:p>
    <w:p w14:paraId="34F19D7C" w14:textId="77777777" w:rsidR="00304D3B" w:rsidRPr="00304D3B" w:rsidRDefault="00304D3B" w:rsidP="00304D3B">
      <w:pPr>
        <w:numPr>
          <w:ilvl w:val="0"/>
          <w:numId w:val="46"/>
        </w:numPr>
        <w:spacing w:after="200" w:line="276" w:lineRule="auto"/>
        <w:rPr>
          <w:rFonts w:eastAsia="Times New Roman" w:cs="Arial"/>
        </w:rPr>
      </w:pPr>
      <w:r w:rsidRPr="00304D3B">
        <w:rPr>
          <w:rFonts w:eastAsia="Times New Roman" w:cs="Arial"/>
          <w:kern w:val="24"/>
        </w:rPr>
        <w:t xml:space="preserve">Harmonised plans need to be turned into international agreements </w:t>
      </w:r>
    </w:p>
    <w:p w14:paraId="3433774A" w14:textId="77777777" w:rsidR="00304D3B" w:rsidRPr="00304D3B" w:rsidRDefault="00304D3B" w:rsidP="00304D3B">
      <w:pPr>
        <w:numPr>
          <w:ilvl w:val="0"/>
          <w:numId w:val="46"/>
        </w:numPr>
        <w:spacing w:after="200" w:line="276" w:lineRule="auto"/>
        <w:rPr>
          <w:rFonts w:eastAsia="Times New Roman" w:cs="Arial"/>
          <w:kern w:val="24"/>
        </w:rPr>
      </w:pPr>
      <w:r w:rsidRPr="00304D3B">
        <w:rPr>
          <w:rFonts w:eastAsia="Times New Roman" w:cs="Arial"/>
          <w:kern w:val="24"/>
        </w:rPr>
        <w:t>Implementation plans require resources</w:t>
      </w:r>
    </w:p>
    <w:p w14:paraId="3574122C" w14:textId="77777777" w:rsidR="00304D3B" w:rsidRPr="00304D3B" w:rsidRDefault="00304D3B" w:rsidP="00304D3B">
      <w:pPr>
        <w:numPr>
          <w:ilvl w:val="0"/>
          <w:numId w:val="46"/>
        </w:numPr>
        <w:spacing w:after="200" w:line="256" w:lineRule="auto"/>
        <w:rPr>
          <w:rFonts w:cs="Arial"/>
          <w:sz w:val="24"/>
          <w:szCs w:val="24"/>
          <w:lang w:val="en-US"/>
        </w:rPr>
      </w:pPr>
      <w:r w:rsidRPr="00304D3B">
        <w:rPr>
          <w:rFonts w:eastAsia="Times New Roman" w:cs="Arial"/>
          <w:kern w:val="24"/>
        </w:rPr>
        <w:t>Industry</w:t>
      </w:r>
      <w:r w:rsidRPr="00304D3B">
        <w:rPr>
          <w:rFonts w:cs="Arial"/>
          <w:lang w:val="en-US"/>
        </w:rPr>
        <w:t xml:space="preserve"> engagement essential – equipment manufacturers; i</w:t>
      </w:r>
      <w:r w:rsidRPr="00304D3B">
        <w:rPr>
          <w:rFonts w:cs="Arial"/>
          <w:sz w:val="24"/>
          <w:szCs w:val="24"/>
          <w:lang w:val="en-US"/>
        </w:rPr>
        <w:t>nsurance companies</w:t>
      </w:r>
    </w:p>
    <w:p w14:paraId="40E9F5FB" w14:textId="77777777" w:rsidR="00304D3B" w:rsidRPr="00304D3B" w:rsidRDefault="00304D3B" w:rsidP="00304D3B">
      <w:pPr>
        <w:spacing w:line="256" w:lineRule="auto"/>
        <w:ind w:left="720"/>
        <w:rPr>
          <w:rFonts w:cs="Arial"/>
          <w:lang w:val="en-US" w:eastAsia="en-US"/>
        </w:rPr>
      </w:pPr>
    </w:p>
    <w:p w14:paraId="6A8E6969" w14:textId="77777777" w:rsidR="00304D3B" w:rsidRPr="00304D3B" w:rsidRDefault="00304D3B" w:rsidP="00304D3B">
      <w:pPr>
        <w:spacing w:after="120" w:line="256" w:lineRule="auto"/>
        <w:rPr>
          <w:rFonts w:cs="Arial"/>
          <w:kern w:val="24"/>
          <w:lang w:eastAsia="en-US"/>
        </w:rPr>
      </w:pPr>
      <w:r w:rsidRPr="00304D3B">
        <w:rPr>
          <w:rFonts w:cs="Arial"/>
          <w:b/>
          <w:kern w:val="24"/>
          <w:lang w:eastAsia="en-US"/>
        </w:rPr>
        <w:t>Follow-up event</w:t>
      </w:r>
    </w:p>
    <w:p w14:paraId="746EC911" w14:textId="77777777" w:rsidR="00304D3B" w:rsidRPr="00304D3B" w:rsidRDefault="00304D3B" w:rsidP="00304D3B">
      <w:pPr>
        <w:spacing w:line="256" w:lineRule="auto"/>
        <w:rPr>
          <w:rFonts w:cs="Arial"/>
          <w:lang w:eastAsia="en-US"/>
        </w:rPr>
      </w:pPr>
      <w:r w:rsidRPr="00304D3B">
        <w:rPr>
          <w:rFonts w:cs="Arial"/>
          <w:kern w:val="24"/>
          <w:lang w:eastAsia="en-US"/>
        </w:rPr>
        <w:t xml:space="preserve">Suggested venues for a follow-up event included: </w:t>
      </w:r>
      <w:r w:rsidRPr="00304D3B">
        <w:rPr>
          <w:rFonts w:cs="Arial"/>
          <w:lang w:eastAsia="en-US"/>
        </w:rPr>
        <w:t xml:space="preserve">IALA, St </w:t>
      </w:r>
      <w:proofErr w:type="spellStart"/>
      <w:r w:rsidRPr="00304D3B">
        <w:rPr>
          <w:rFonts w:cs="Arial"/>
          <w:lang w:eastAsia="en-US"/>
        </w:rPr>
        <w:t>Germain</w:t>
      </w:r>
      <w:proofErr w:type="spellEnd"/>
      <w:r w:rsidRPr="00304D3B">
        <w:rPr>
          <w:rFonts w:cs="Arial"/>
          <w:lang w:eastAsia="en-US"/>
        </w:rPr>
        <w:t xml:space="preserve"> </w:t>
      </w:r>
      <w:proofErr w:type="spellStart"/>
      <w:r w:rsidRPr="00304D3B">
        <w:rPr>
          <w:rFonts w:cs="Arial"/>
          <w:lang w:eastAsia="en-US"/>
        </w:rPr>
        <w:t>en</w:t>
      </w:r>
      <w:proofErr w:type="spellEnd"/>
      <w:r w:rsidRPr="00304D3B">
        <w:rPr>
          <w:rFonts w:cs="Arial"/>
          <w:lang w:eastAsia="en-US"/>
        </w:rPr>
        <w:t xml:space="preserve"> </w:t>
      </w:r>
      <w:proofErr w:type="spellStart"/>
      <w:r w:rsidRPr="00304D3B">
        <w:rPr>
          <w:rFonts w:cs="Arial"/>
          <w:lang w:eastAsia="en-US"/>
        </w:rPr>
        <w:t>Laye</w:t>
      </w:r>
      <w:proofErr w:type="spellEnd"/>
      <w:r w:rsidRPr="00304D3B">
        <w:rPr>
          <w:rFonts w:cs="Arial"/>
          <w:lang w:eastAsia="en-US"/>
        </w:rPr>
        <w:t xml:space="preserve">, date to be decided; </w:t>
      </w:r>
      <w:r w:rsidRPr="00304D3B">
        <w:rPr>
          <w:rFonts w:cs="Arial"/>
          <w:kern w:val="24"/>
          <w:lang w:eastAsia="en-US"/>
        </w:rPr>
        <w:t xml:space="preserve">Arab Institute of Navigation Conference in Alexandria, Egypt, 1-3 Sept. 2014; ION GNSS, Tampa, Florida, 15-19 Sept. 2014; </w:t>
      </w:r>
      <w:r w:rsidRPr="00304D3B">
        <w:rPr>
          <w:rFonts w:cs="Arial"/>
          <w:lang w:eastAsia="en-US"/>
        </w:rPr>
        <w:t>ION ITM, January 2015; ENC 2015, Bordeaux, France, April 2015.</w:t>
      </w:r>
    </w:p>
    <w:p w14:paraId="59248EE7" w14:textId="77777777" w:rsidR="00304D3B" w:rsidRPr="00304D3B" w:rsidRDefault="00304D3B" w:rsidP="00304D3B">
      <w:pPr>
        <w:spacing w:line="256" w:lineRule="auto"/>
        <w:rPr>
          <w:rFonts w:cs="Arial"/>
          <w:lang w:eastAsia="en-US"/>
        </w:rPr>
      </w:pPr>
      <w:r w:rsidRPr="00304D3B">
        <w:rPr>
          <w:rFonts w:cs="Arial"/>
          <w:lang w:eastAsia="en-US"/>
        </w:rPr>
        <w:t>It was noted that September was probably too soon to make the necessary preparations and little would have changed in the intervening period. Therefore arrangements are being made to hold meetings of the Forum during the (US) ION International Technical Meeting, at Dana Point, California on 26 January 2015 and at the European Navigation Conference in April. The possibility of a further meeting during the IAIN Congress in Prague during October will also be investigated.</w:t>
      </w:r>
    </w:p>
    <w:p w14:paraId="6A8B2C53" w14:textId="77777777" w:rsidR="00304D3B" w:rsidRPr="00304D3B" w:rsidRDefault="00304D3B" w:rsidP="00304D3B">
      <w:pPr>
        <w:spacing w:line="256" w:lineRule="auto"/>
        <w:rPr>
          <w:rFonts w:cs="Arial"/>
          <w:lang w:eastAsia="en-US"/>
        </w:rPr>
      </w:pPr>
    </w:p>
    <w:p w14:paraId="74215795" w14:textId="48CE216E" w:rsidR="00304D3B" w:rsidRPr="00304D3B" w:rsidRDefault="00304D3B" w:rsidP="00304D3B">
      <w:pPr>
        <w:spacing w:line="256" w:lineRule="auto"/>
        <w:jc w:val="right"/>
        <w:rPr>
          <w:rFonts w:ascii="Calibri" w:hAnsi="Calibri" w:cs="Times New Roman"/>
          <w:lang w:eastAsia="en-US"/>
        </w:rPr>
      </w:pPr>
      <w:r w:rsidRPr="00304D3B">
        <w:rPr>
          <w:rFonts w:cs="Arial"/>
          <w:lang w:eastAsia="en-US"/>
        </w:rPr>
        <w:t xml:space="preserve">N. Ward, 6 October 2014 </w:t>
      </w:r>
    </w:p>
    <w:p w14:paraId="5622BB12" w14:textId="77777777" w:rsidR="00F546FD" w:rsidRPr="00F546FD" w:rsidRDefault="00F546FD" w:rsidP="00F546FD">
      <w:pPr>
        <w:pStyle w:val="BodyText"/>
        <w:rPr>
          <w:b/>
          <w:lang w:eastAsia="en-US"/>
        </w:rPr>
      </w:pPr>
    </w:p>
    <w:sectPr w:rsidR="00F546FD" w:rsidRPr="00F546FD" w:rsidSect="00F546FD">
      <w:footerReference w:type="default" r:id="rId1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F3298" w14:textId="77777777" w:rsidR="00095A2D" w:rsidRDefault="00095A2D" w:rsidP="00362CD9">
      <w:r>
        <w:separator/>
      </w:r>
    </w:p>
  </w:endnote>
  <w:endnote w:type="continuationSeparator" w:id="0">
    <w:p w14:paraId="3AA7DB8F" w14:textId="77777777" w:rsidR="00095A2D" w:rsidRDefault="00095A2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D901E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5E4E62" w14:textId="77777777" w:rsidR="00095A2D" w:rsidRDefault="00095A2D" w:rsidP="00362CD9">
      <w:r>
        <w:separator/>
      </w:r>
    </w:p>
  </w:footnote>
  <w:footnote w:type="continuationSeparator" w:id="0">
    <w:p w14:paraId="796976FD" w14:textId="77777777" w:rsidR="00095A2D" w:rsidRDefault="00095A2D"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C6B61B0"/>
    <w:multiLevelType w:val="hybridMultilevel"/>
    <w:tmpl w:val="D6540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4A77E29"/>
    <w:multiLevelType w:val="hybridMultilevel"/>
    <w:tmpl w:val="5B1E0A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8"/>
  </w:num>
  <w:num w:numId="4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95A2D"/>
    <w:rsid w:val="000A77A7"/>
    <w:rsid w:val="000B1707"/>
    <w:rsid w:val="000C1B3E"/>
    <w:rsid w:val="00177F4D"/>
    <w:rsid w:val="00180DDA"/>
    <w:rsid w:val="001B2A2D"/>
    <w:rsid w:val="001B737D"/>
    <w:rsid w:val="001C44A3"/>
    <w:rsid w:val="001E0E15"/>
    <w:rsid w:val="001F528A"/>
    <w:rsid w:val="001F704E"/>
    <w:rsid w:val="00206FBF"/>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04D3B"/>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34705"/>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09B4"/>
    <w:rsid w:val="008B4A15"/>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7559F"/>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01E8"/>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546FD"/>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DE15B-CEC4-43E8-9F09-AFA7F8381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2014-10-06T10:47:00Z</dcterms:created>
  <dcterms:modified xsi:type="dcterms:W3CDTF">2014-10-06T10:50:00Z</dcterms:modified>
</cp:coreProperties>
</file>